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F7" w:rsidRDefault="00EE4BF7" w:rsidP="00EE4BF7">
      <w:pPr>
        <w:pStyle w:val="ConsPlusTitle"/>
        <w:jc w:val="center"/>
        <w:outlineLvl w:val="0"/>
      </w:pPr>
      <w:bookmarkStart w:id="0" w:name="_GoBack"/>
      <w:bookmarkEnd w:id="0"/>
      <w:r>
        <w:t>КОМИТЕТ ПО ПЕЧАТИ И СВЯЗЯМ С ОБЩЕСТВЕННОСТЬЮ</w:t>
      </w:r>
    </w:p>
    <w:p w:rsidR="00EE4BF7" w:rsidRDefault="00EE4BF7" w:rsidP="00EE4BF7">
      <w:pPr>
        <w:pStyle w:val="ConsPlusTitle"/>
        <w:jc w:val="center"/>
      </w:pPr>
      <w:r>
        <w:t>ЛЕНИНГРАДСКОЙ ОБЛАСТИ</w:t>
      </w:r>
    </w:p>
    <w:p w:rsidR="00EE4BF7" w:rsidRDefault="00EE4BF7" w:rsidP="00EE4BF7">
      <w:pPr>
        <w:pStyle w:val="ConsPlusTitle"/>
        <w:jc w:val="center"/>
      </w:pPr>
    </w:p>
    <w:p w:rsidR="00EE4BF7" w:rsidRDefault="00EE4BF7" w:rsidP="00EE4BF7">
      <w:pPr>
        <w:pStyle w:val="ConsPlusTitle"/>
        <w:jc w:val="center"/>
      </w:pPr>
      <w:r>
        <w:t>ПРИКАЗ</w:t>
      </w:r>
    </w:p>
    <w:p w:rsidR="00EE4BF7" w:rsidRDefault="00EE4BF7" w:rsidP="00EE4BF7">
      <w:pPr>
        <w:pStyle w:val="ConsPlusTitle"/>
        <w:jc w:val="center"/>
      </w:pPr>
      <w:r>
        <w:t>от 26 февраля 2018 г. N 7</w:t>
      </w:r>
    </w:p>
    <w:p w:rsidR="00EE4BF7" w:rsidRDefault="00EE4BF7" w:rsidP="00EE4BF7">
      <w:pPr>
        <w:pStyle w:val="ConsPlusTitle"/>
        <w:jc w:val="center"/>
      </w:pPr>
    </w:p>
    <w:p w:rsidR="00EE4BF7" w:rsidRDefault="00EE4BF7" w:rsidP="00EE4BF7">
      <w:pPr>
        <w:pStyle w:val="ConsPlusTitle"/>
        <w:jc w:val="center"/>
      </w:pPr>
      <w:r>
        <w:t>ОБ УТВЕРЖДЕНИИ ПОЛОЖЕНИЯ ОБ ЭКСПЕРТНОМ СОВЕТЕ ПО ПРОВЕДЕНИЮ</w:t>
      </w:r>
    </w:p>
    <w:p w:rsidR="00EE4BF7" w:rsidRDefault="00EE4BF7" w:rsidP="00EE4BF7">
      <w:pPr>
        <w:pStyle w:val="ConsPlusTitle"/>
        <w:jc w:val="center"/>
      </w:pPr>
      <w:r>
        <w:t>КОНКУРСНОГО ОТБОРА ПО ПРЕДОСТАВЛЕНИЮ ГРАНТОВ ГУБЕРНАТОРА</w:t>
      </w:r>
    </w:p>
    <w:p w:rsidR="00EE4BF7" w:rsidRDefault="00EE4BF7" w:rsidP="00EE4BF7">
      <w:pPr>
        <w:pStyle w:val="ConsPlusTitle"/>
        <w:jc w:val="center"/>
      </w:pPr>
      <w:r>
        <w:t>ЛЕНИНГРАДСКОЙ ОБЛАСТИ В ФОРМЕ СУБСИДИЙ СОЦИАЛЬНО</w:t>
      </w:r>
    </w:p>
    <w:p w:rsidR="00EE4BF7" w:rsidRDefault="00EE4BF7" w:rsidP="00EE4BF7">
      <w:pPr>
        <w:pStyle w:val="ConsPlusTitle"/>
        <w:jc w:val="center"/>
      </w:pPr>
      <w:r>
        <w:t>ОРИЕНТИРОВАННЫМ НЕКОММЕРЧЕСКИМ ОРГАНИЗАЦИЯМ НА РЕАЛИЗАЦИЮ</w:t>
      </w:r>
    </w:p>
    <w:p w:rsidR="00EE4BF7" w:rsidRDefault="00EE4BF7" w:rsidP="00EE4BF7">
      <w:pPr>
        <w:pStyle w:val="ConsPlusTitle"/>
        <w:jc w:val="center"/>
      </w:pPr>
      <w:r>
        <w:t>ПРОЕКТОВ И КРИТЕРИЕВ ОЦЕНКИ ЗАЯВОК НА ПОЛУЧЕНИЕ СУБСИДИЙ</w:t>
      </w:r>
    </w:p>
    <w:p w:rsidR="00EE4BF7" w:rsidRDefault="00EE4BF7" w:rsidP="00EE4BF7">
      <w:pPr>
        <w:spacing w:after="1"/>
      </w:pPr>
    </w:p>
    <w:p w:rsidR="00EE4BF7" w:rsidRDefault="00EE4BF7" w:rsidP="00EE4B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15.02.2018 N 46, приказываю: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об экспертном совете по проведению конкурсного отбора по предоставлению грантов Губернатора Ленинградской области в форме субсидий из областного бюджета</w:t>
      </w:r>
      <w:proofErr w:type="gramEnd"/>
      <w:r>
        <w:t xml:space="preserve"> Ленинградской области социально ориентированным некоммерческим организациям на реализацию проектов согласно приложению 1 к настоящему приказу.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6" w:history="1">
        <w:r>
          <w:rPr>
            <w:color w:val="0000FF"/>
          </w:rPr>
          <w:t>критерии</w:t>
        </w:r>
      </w:hyperlink>
      <w:r>
        <w:t xml:space="preserve"> оценки заявок на получение субсидий согласно приложению 2 к настоящему приказу.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jc w:val="right"/>
      </w:pPr>
      <w:proofErr w:type="spellStart"/>
      <w:r>
        <w:t>И.о</w:t>
      </w:r>
      <w:proofErr w:type="spellEnd"/>
      <w:r>
        <w:t>. заместителя председателя Комитета</w:t>
      </w:r>
    </w:p>
    <w:p w:rsidR="00EE4BF7" w:rsidRDefault="00EE4BF7" w:rsidP="00EE4BF7">
      <w:pPr>
        <w:pStyle w:val="ConsPlusNormal"/>
        <w:jc w:val="right"/>
      </w:pPr>
      <w:proofErr w:type="spellStart"/>
      <w:r>
        <w:t>В.Л.Хейфец</w:t>
      </w:r>
      <w:proofErr w:type="spellEnd"/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EE4BF7" w:rsidRDefault="00EE4BF7" w:rsidP="00EE4BF7">
      <w:pPr>
        <w:pStyle w:val="ConsPlusNormal"/>
        <w:jc w:val="right"/>
        <w:outlineLvl w:val="0"/>
      </w:pPr>
      <w:r>
        <w:lastRenderedPageBreak/>
        <w:t>УТВЕРЖДЕНО</w:t>
      </w:r>
    </w:p>
    <w:p w:rsidR="00EE4BF7" w:rsidRDefault="00EE4BF7" w:rsidP="00EE4BF7">
      <w:pPr>
        <w:pStyle w:val="ConsPlusNormal"/>
        <w:jc w:val="right"/>
      </w:pPr>
      <w:r>
        <w:t>приказом Комитета по печати</w:t>
      </w:r>
    </w:p>
    <w:p w:rsidR="00EE4BF7" w:rsidRDefault="00EE4BF7" w:rsidP="00EE4BF7">
      <w:pPr>
        <w:pStyle w:val="ConsPlusNormal"/>
        <w:jc w:val="right"/>
      </w:pPr>
      <w:r>
        <w:t>и связям с общественностью</w:t>
      </w:r>
    </w:p>
    <w:p w:rsidR="00EE4BF7" w:rsidRDefault="00EE4BF7" w:rsidP="00EE4BF7">
      <w:pPr>
        <w:pStyle w:val="ConsPlusNormal"/>
        <w:jc w:val="right"/>
      </w:pPr>
      <w:r>
        <w:t>Ленинградской области</w:t>
      </w:r>
    </w:p>
    <w:p w:rsidR="00EE4BF7" w:rsidRDefault="00EE4BF7" w:rsidP="00EE4BF7">
      <w:pPr>
        <w:pStyle w:val="ConsPlusNormal"/>
        <w:jc w:val="right"/>
      </w:pPr>
      <w:r>
        <w:t>от 26.02.2018 N 7</w:t>
      </w:r>
    </w:p>
    <w:p w:rsidR="00EE4BF7" w:rsidRDefault="00EE4BF7" w:rsidP="00EE4BF7">
      <w:pPr>
        <w:pStyle w:val="ConsPlusNormal"/>
        <w:jc w:val="right"/>
      </w:pPr>
      <w:r>
        <w:t>(приложение 1)</w:t>
      </w:r>
    </w:p>
    <w:p w:rsidR="00EE4BF7" w:rsidRDefault="00EE4BF7" w:rsidP="00EE4BF7">
      <w:pPr>
        <w:pStyle w:val="ConsPlusNormal"/>
        <w:jc w:val="center"/>
      </w:pPr>
    </w:p>
    <w:p w:rsidR="00EE4BF7" w:rsidRDefault="00EE4BF7" w:rsidP="00EE4BF7">
      <w:pPr>
        <w:pStyle w:val="ConsPlusTitle"/>
        <w:jc w:val="center"/>
      </w:pPr>
      <w:bookmarkStart w:id="1" w:name="P37"/>
      <w:bookmarkEnd w:id="1"/>
      <w:r>
        <w:t>ПОЛОЖЕНИЕ</w:t>
      </w:r>
    </w:p>
    <w:p w:rsidR="00EE4BF7" w:rsidRDefault="00EE4BF7" w:rsidP="00EE4BF7">
      <w:pPr>
        <w:pStyle w:val="ConsPlusTitle"/>
        <w:jc w:val="center"/>
      </w:pPr>
      <w:r>
        <w:t>ОБ ЭКСПЕРТНОМ СОВЕТЕ ПО ПРОВЕДЕНИЮ КОНКУРСНОГО ОТБОРА</w:t>
      </w:r>
    </w:p>
    <w:p w:rsidR="00EE4BF7" w:rsidRDefault="00EE4BF7" w:rsidP="00EE4BF7">
      <w:pPr>
        <w:pStyle w:val="ConsPlusTitle"/>
        <w:jc w:val="center"/>
      </w:pPr>
      <w:r>
        <w:t>ПО ПРЕДОСТАВЛЕНИЮ ГРАНТОВ ГУБЕРНАТОРА ЛЕНИНГРАДСКОЙ ОБЛАСТИ</w:t>
      </w:r>
    </w:p>
    <w:p w:rsidR="00EE4BF7" w:rsidRDefault="00EE4BF7" w:rsidP="00EE4BF7">
      <w:pPr>
        <w:pStyle w:val="ConsPlusTitle"/>
        <w:jc w:val="center"/>
      </w:pPr>
      <w:r>
        <w:t>В ФОРМЕ СУБСИДИЙ ИЗ ОБЛАСТНОГО БЮДЖЕТА ЛЕНИНГРАДСКОЙ ОБЛАСТИ</w:t>
      </w:r>
    </w:p>
    <w:p w:rsidR="00EE4BF7" w:rsidRDefault="00EE4BF7" w:rsidP="00EE4BF7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EE4BF7" w:rsidRDefault="00EE4BF7" w:rsidP="00EE4BF7">
      <w:pPr>
        <w:pStyle w:val="ConsPlusTitle"/>
        <w:jc w:val="center"/>
      </w:pPr>
      <w:r>
        <w:t>НА РЕАЛИЗАЦИЮ ПРОЕКТОВ</w:t>
      </w:r>
    </w:p>
    <w:p w:rsidR="00EE4BF7" w:rsidRDefault="00EE4BF7" w:rsidP="00EE4BF7">
      <w:pPr>
        <w:spacing w:after="1"/>
      </w:pPr>
    </w:p>
    <w:p w:rsidR="00EE4BF7" w:rsidRDefault="00EE4BF7" w:rsidP="00EE4BF7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1.1. Настоящее Положение определяет порядок формирования, организации работы, полномочия экспертного совета по проведению конкурсного отбора по предоставлению грантов Губернатора Ленинградской области в форме субсидий из областного бюджета Ленинградской области социально ориентированным некоммерческим организациям на реализацию проектов (далее - Экспертный совет, СО НКО, конкурсный отбор).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1.2. Исключен. - </w:t>
      </w:r>
      <w:hyperlink r:id="rId7" w:history="1">
        <w:r>
          <w:rPr>
            <w:color w:val="0000FF"/>
          </w:rPr>
          <w:t>Приказ</w:t>
        </w:r>
      </w:hyperlink>
      <w:r>
        <w:t xml:space="preserve"> комитета по печати и связям с общественностью Ленинградской области от 21.01.2019 N 3.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1.3. В состав Экспертного совета входят члены Экспертного совета, председатель Экспертного совета и секретарь Экспертного совета. Общее число членов Экспертного совета, включая председателя Экспертного совета, составляет не менее 9 (девяти) человек.</w:t>
      </w:r>
    </w:p>
    <w:p w:rsidR="00EE4BF7" w:rsidRDefault="00EE4BF7" w:rsidP="00EE4BF7">
      <w:pPr>
        <w:pStyle w:val="ConsPlusNormal"/>
        <w:jc w:val="both"/>
      </w:pPr>
      <w:r>
        <w:t xml:space="preserve">(п. 1.3 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комитета по печати и связям с общественностью Ленинградской области от 21.01.2019 N 3)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1.4. Ротация состава Экспертного совета проводится ежегодно на одну треть при условии, что член Экспертного совета не может входить в его состав более 3 лет подряд.</w:t>
      </w:r>
    </w:p>
    <w:p w:rsidR="00EE4BF7" w:rsidRDefault="00EE4BF7" w:rsidP="00EE4BF7">
      <w:pPr>
        <w:pStyle w:val="ConsPlusNormal"/>
        <w:jc w:val="both"/>
      </w:pPr>
      <w:r>
        <w:t xml:space="preserve">(п. 1.4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Приказом</w:t>
        </w:r>
      </w:hyperlink>
      <w:r>
        <w:t xml:space="preserve"> комитета по печати и связям с общественностью Ленинградской области от 01.08.2018 N 16)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Title"/>
        <w:ind w:firstLine="540"/>
        <w:jc w:val="both"/>
        <w:outlineLvl w:val="1"/>
      </w:pPr>
      <w:r>
        <w:t>2. Полномочия Экспертного совета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2.1. Члены Экспертного совета: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2.1.1. участвуют в заседаниях Экспертного совета лично;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2.1.2. принимают решение о соответствии соискателей категориям и критериям отбора получателей субсидий, имеющих право на получение субсидий (далее - критерии отбора);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2.1.3. осуществляют рассмотрение и оценку заявок СО НКО на участие в конкурсном отборе и иных приложенных к заявке документов;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2.1.4. имеют право внести предложение об уменьшении сметы на реализацию проекта СО НКО, но не более чем на 40% от запрашиваемой суммы;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2.1.5. имеют право задавать вопросы представителям СО НКО, представляющим проект.</w:t>
      </w:r>
    </w:p>
    <w:p w:rsidR="00EE4BF7" w:rsidRDefault="00EE4BF7" w:rsidP="00EE4BF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2.1.5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Приказом</w:t>
        </w:r>
      </w:hyperlink>
      <w:r>
        <w:t xml:space="preserve"> комитета по печати и связям с общественностью Ленинградской области от 21.01.2019 N 3)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lastRenderedPageBreak/>
        <w:t>2.2. Председатель Экспертного совета: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2.2.1. руководит деятельностью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2.2.2. осуществляет полномочия члена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2.2.3. ведет заседания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2.2.4. подписывает протоколы заседаний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2.2.5. обладает правом решающего голоса в случае равенства голосов при проведении голосования на заседаниях Экспертного совета.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 Секретарь Экспертного совета: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2.3.1. извещает членов Экспертного совета о времени и месте проведения заседаний;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2.3.2. обеспечивает ознакомление членов Экспертного совета с заявками на участие в конкурсном отборе и иными приложенными к заявке документами;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2.3.3. организует проведение заседаний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2.3.4. формирует порядок проведения заседаний Экспертного совета и следит за его соблюдением;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2.3.5. ведет и подписывает протоколы заседаний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2.3.6. осуществляет подготовку оценочных листов, графика представления проектов, справок и иных материалов для проведения заседаний Экспертного совета;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2.3.7. по результатам проведенной членами Экспертного совета балльной оценки заявок суммирует баллы по каждой заявке, формирует рейтинг СО НКО в порядке убывания суммарного количества баллов, где СО НКО, чья заявка получила наибольшее количество баллов, занимает наиболее высокую позицию в рейтинге, и представляет его на рассмотрение Экспертному совету.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Title"/>
        <w:ind w:firstLine="540"/>
        <w:jc w:val="both"/>
        <w:outlineLvl w:val="1"/>
      </w:pPr>
      <w:r>
        <w:t>3. Порядок деятельности Экспертного совета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3.1. Заседания Экспертного совета назначаются Комитетом.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3.2. Решения Экспертного совета принимаются простым большинством голосов от числа членов Экспертного совета, участвующих в заседании, путем открытого голосования.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3.3. Заседание Экспертного совета является правомочным при участии не менее 50 процентов от числа его членов.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3.4. В случае если член Экспертного совета лично (прямо или косвенно) заинтересован в итогах конкурса или имеются иные обстоятельства, способные повлиять на участие члена Экспертного совета в работе Экспертного совета, он обязан проинформировать об этом Экспертный совет до начала рассмотрения заявок и прекратить участие в заседании Экспертного совета.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членом Экспертного совета </w:t>
      </w:r>
      <w:proofErr w:type="gramStart"/>
      <w:r>
        <w:t>и(</w:t>
      </w:r>
      <w:proofErr w:type="gramEnd"/>
      <w:r>
        <w:t xml:space="preserve">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член Экспертного совета </w:t>
      </w:r>
      <w:proofErr w:type="gramStart"/>
      <w:r>
        <w:t>и(</w:t>
      </w:r>
      <w:proofErr w:type="gramEnd"/>
      <w:r>
        <w:t>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E4BF7" w:rsidRDefault="00EE4BF7" w:rsidP="00EE4BF7">
      <w:pPr>
        <w:pStyle w:val="ConsPlusNormal"/>
        <w:jc w:val="both"/>
      </w:pPr>
      <w:r>
        <w:lastRenderedPageBreak/>
        <w:t xml:space="preserve">(п. 3.4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Комитета по печати Ленинградской области от 08.11.2019 N 10)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3.5. Член Экспертного совета вправе в любое время заявить о выходе из состава Экспертного совета, подав соответствующее заявление в письменной форме председателю Экспертного совета.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3.6. К обстоятельствам, способным повлиять на участие члена Экспертного совета в работе Экспертного совета, относятся: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proofErr w:type="gramStart"/>
      <w:r>
        <w:t>3.6.1. участие (в том числе в течение последних 12 месяцев) члена Экспертного совета или его близких родственников в деятельности СО НКО, являющейся участницей конкурсного отбора, в качестве учредителя, члена коллегиального органа, единоличного исполнительного органа или работника;</w:t>
      </w:r>
      <w:proofErr w:type="gramEnd"/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3.6.2. наличие (в том числе в течение последних 12 месяцев) у члена Экспертного совета или его близких родственников договорных отношений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НКО, являющейся участницей конкурсного отбора;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3.6.3. получение (в том числе в течение последних 12 месяцев) членом Экспертного совета или его близкими родственниками денежных средств, иного имущества, материальной выгоды (в том числе в виде безвозмездно полученных работ, услуг) </w:t>
      </w:r>
      <w:proofErr w:type="gramStart"/>
      <w:r>
        <w:t>от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НКО, являющейся участницей конкурсного отбора;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3.6.4. наличие (в том числе в течение последних 12 месяцев) у члена Экспертного совета или его близких родственников судебных споров </w:t>
      </w:r>
      <w:proofErr w:type="gramStart"/>
      <w:r>
        <w:t>с</w:t>
      </w:r>
      <w:proofErr w:type="gramEnd"/>
      <w:r>
        <w:t xml:space="preserve"> </w:t>
      </w:r>
      <w:proofErr w:type="gramStart"/>
      <w:r>
        <w:t>СО</w:t>
      </w:r>
      <w:proofErr w:type="gramEnd"/>
      <w:r>
        <w:t xml:space="preserve"> НКО, являющейся участницей конкурсного отбора, ее учредителем или руководителем;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3.6.5. участие (в том числе в течение последних 12 месяцев) члена Экспертного совета в работе СО НКО, являющейся участницей конкурсного отбора, в качестве добровольца;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3.6.6. оказание членом Экспертного совета содействия СО НКО, являющейся участницей конкурсного отбора, в подготовке заявки на участие в конкурсе (за исключением случаев консультирования на безвозмездной основе путем ответов на вопросы по подготовке заявки);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3.6.7. иные обстоятельства, при которых возникает или может возникнуть противоречие между личной заинтересованностью члена Экспертного совета и функциями Экспертного совета.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3.7. При наличии обстоятельств, способных повлиять на участие члена Экспертного совета в работе Экспертного совета, Экспертный совет рассматривает вопрос об исключении члена из состава Экспертного совета.</w:t>
      </w:r>
    </w:p>
    <w:p w:rsidR="00EE4BF7" w:rsidRDefault="00EE4BF7" w:rsidP="00EE4BF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комитета по печати и связям с общественностью Ленинградской области от 21.01.2019 N 3)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Title"/>
        <w:ind w:firstLine="540"/>
        <w:jc w:val="both"/>
        <w:outlineLvl w:val="1"/>
      </w:pPr>
      <w:r>
        <w:t>4. Порядок рассмотрения и оценки заявок Экспертным советом</w:t>
      </w:r>
    </w:p>
    <w:p w:rsidR="00EE4BF7" w:rsidRDefault="00EE4BF7" w:rsidP="00EE4BF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по печати и связям с общественностью Ленинградской области от 21.01.2019 N 3)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4.1. СО НКО вправе представить не более одной заявки на участие в конкурсном отборе.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4.2. Заявки на участие в конкурсном отборе, поступающие в Комитет, должны относиться к одной из представленных категорий: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proofErr w:type="gramStart"/>
      <w:r>
        <w:t xml:space="preserve">а) первая категория ("Большой грант Губернатора") - заявка на участие в конкурсном отборе по проекту регионального значения с охватом целевых групп не менее 18 (восемнадцати) муниципальных районов (городского округа) Ленинградской области и/или территории не менее 18 (восемнадцати) муниципальных районов (городского округа) Ленинградской области, размер </w:t>
      </w:r>
      <w:r>
        <w:lastRenderedPageBreak/>
        <w:t>субсидии - от 2000000 рублей до 3000000 рублей (включительно);</w:t>
      </w:r>
      <w:proofErr w:type="gramEnd"/>
    </w:p>
    <w:p w:rsidR="00EE4BF7" w:rsidRDefault="00EE4BF7" w:rsidP="00EE4BF7">
      <w:pPr>
        <w:pStyle w:val="ConsPlusNormal"/>
        <w:spacing w:before="220"/>
        <w:ind w:firstLine="540"/>
        <w:jc w:val="both"/>
      </w:pPr>
      <w:proofErr w:type="gramStart"/>
      <w:r>
        <w:t>б) вторая категория ("Средний грант Губернатора") - заявка на участие в конкурсном отборе по проекту межмуниципального значения с охватом целевых групп не менее 9 (девяти) муниципальных районов (городского округа) Ленинградской области и/или территории не менее 9 (девяти) муниципальных районов (городского округа) Ленинградской области, размер субсидии - от 1000000 рублей до 1999000 рублей (включительно);</w:t>
      </w:r>
      <w:proofErr w:type="gramEnd"/>
    </w:p>
    <w:p w:rsidR="00EE4BF7" w:rsidRDefault="00EE4BF7" w:rsidP="00EE4BF7">
      <w:pPr>
        <w:pStyle w:val="ConsPlusNormal"/>
        <w:spacing w:before="220"/>
        <w:ind w:firstLine="540"/>
        <w:jc w:val="both"/>
      </w:pPr>
      <w:proofErr w:type="gramStart"/>
      <w:r>
        <w:t>в) третья категория ("Малый грант Губернатора") - заявка на участие в конкурсном отборе по проекту муниципального значения с охватом целевых групп не менее 1 (одного) муниципального района (городского округа) Ленинградской области и/или территории не менее 1 (одного) муниципального района (городского округа) Ленинградской области, размер субсидии - от 500000 рублей до 999000 рублей (включительно).</w:t>
      </w:r>
      <w:proofErr w:type="gramEnd"/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4.3. В срок не позднее 10 (десяти) рабочих дней </w:t>
      </w:r>
      <w:proofErr w:type="gramStart"/>
      <w:r>
        <w:t>с даты окончания</w:t>
      </w:r>
      <w:proofErr w:type="gramEnd"/>
      <w:r>
        <w:t xml:space="preserve"> срока приема заявок Комитет направляет заявки на участие в конкурсном отборе для рассмотрения в Экспертный совет.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4.4. СО НКО, признанные Экспертным советом соответствующими категориям и критериям отбора получателей субсидий, уведомляются Комитетом о дате, времени и месте проведения заседания Экспертного совета, на котором будет проводиться представление проектов.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4.5. Представление проекта проводится СО НКО в форме презентации, в рамках которой разъясняются цели, задачи проекта, ожидаемые результаты от реализации проекта, а также ресурсное обеспечение проекта (имеющиеся кадровые, материальные и технические ресурсы, объем запрашиваемых средств и их планируемое распределение по статьям расходов).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4.6. Оценка заявок проводится членами Экспертного совета </w:t>
      </w:r>
      <w:proofErr w:type="gramStart"/>
      <w:r>
        <w:t xml:space="preserve">по итогам представления СО НКО проектов посредством заполнения оценочных листов в соответствии с </w:t>
      </w:r>
      <w:hyperlink w:anchor="P136" w:history="1">
        <w:r>
          <w:rPr>
            <w:color w:val="0000FF"/>
          </w:rPr>
          <w:t>критериями</w:t>
        </w:r>
      </w:hyperlink>
      <w:r>
        <w:t xml:space="preserve"> оценки заявок на получение</w:t>
      </w:r>
      <w:proofErr w:type="gramEnd"/>
      <w:r>
        <w:t xml:space="preserve"> субсидий (приложение 2 к настоящему Приказу).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4.7. По результатам проведенной оценки заявок секретарь Экспертного совета высчитывает средний балл по каждой заявке по следующей формуле: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rPr>
          <w:noProof/>
          <w:position w:val="-23"/>
        </w:rPr>
        <w:drawing>
          <wp:inline distT="0" distB="0" distL="0" distR="0">
            <wp:extent cx="151200" cy="28800"/>
            <wp:effectExtent l="0" t="0" r="3525520" b="771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28800"/>
                    </a:xfrm>
                    <a:custGeom>
                      <a:avLst/>
                      <a:gdLst>
                        <a:gd name="G0" fmla="+- 0 0 0"/>
                        <a:gd name="G1" fmla="+- 0 0 0"/>
                        <a:gd name="G2" fmla="+- 0 0 0"/>
                        <a:gd name="G3" fmla="+- 10800 0 0"/>
                        <a:gd name="G4" fmla="+- 0 0 0"/>
                        <a:gd name="T0" fmla="*/ 360 256 1"/>
                        <a:gd name="T1" fmla="*/ 0 256 1"/>
                        <a:gd name="G5" fmla="+- G2 T0 T1"/>
                        <a:gd name="G6" fmla="?: G2 G2 G5"/>
                        <a:gd name="G7" fmla="+- 0 0 G6"/>
                        <a:gd name="G8" fmla="+- 0 0 0"/>
                        <a:gd name="G9" fmla="+- 0 0 0"/>
                        <a:gd name="G10" fmla="+- 0 0 2700"/>
                        <a:gd name="G11" fmla="cos G10 0"/>
                        <a:gd name="G12" fmla="sin G10 0"/>
                        <a:gd name="G13" fmla="cos 13500 0"/>
                        <a:gd name="G14" fmla="sin 13500 0"/>
                        <a:gd name="G15" fmla="+- G11 10800 0"/>
                        <a:gd name="G16" fmla="+- G12 10800 0"/>
                        <a:gd name="G17" fmla="+- G13 10800 0"/>
                        <a:gd name="G18" fmla="+- G14 10800 0"/>
                        <a:gd name="G19" fmla="*/ 0 1 2"/>
                        <a:gd name="G20" fmla="+- G19 5400 0"/>
                        <a:gd name="G21" fmla="cos G20 0"/>
                        <a:gd name="G22" fmla="sin G20 0"/>
                        <a:gd name="G23" fmla="+- G21 10800 0"/>
                        <a:gd name="G24" fmla="+- G12 G23 G22"/>
                        <a:gd name="G25" fmla="+- G22 G23 G11"/>
                        <a:gd name="G26" fmla="cos 10800 0"/>
                        <a:gd name="G27" fmla="sin 10800 0"/>
                        <a:gd name="G28" fmla="cos 0 0"/>
                        <a:gd name="G29" fmla="sin 0 0"/>
                        <a:gd name="G30" fmla="+- G26 10800 0"/>
                        <a:gd name="G31" fmla="+- G27 10800 0"/>
                        <a:gd name="G32" fmla="+- G28 10800 0"/>
                        <a:gd name="G33" fmla="+- G29 10800 0"/>
                        <a:gd name="G34" fmla="+- G19 5400 0"/>
                        <a:gd name="G35" fmla="cos G34 0"/>
                        <a:gd name="G36" fmla="sin G34 0"/>
                        <a:gd name="G37" fmla="+/ 0 0 2"/>
                        <a:gd name="T2" fmla="*/ 180 256 1"/>
                        <a:gd name="T3" fmla="*/ 0 256 1"/>
                        <a:gd name="G38" fmla="+- G37 T2 T3"/>
                        <a:gd name="G39" fmla="?: G2 G37 G38"/>
                        <a:gd name="G40" fmla="cos 10800 G39"/>
                        <a:gd name="G41" fmla="sin 10800 G39"/>
                        <a:gd name="G42" fmla="cos 0 G39"/>
                        <a:gd name="G43" fmla="sin 0 G39"/>
                        <a:gd name="G44" fmla="+- G40 10800 0"/>
                        <a:gd name="G45" fmla="+- G41 10800 0"/>
                        <a:gd name="G46" fmla="+- G42 10800 0"/>
                        <a:gd name="G47" fmla="+- G43 10800 0"/>
                        <a:gd name="G48" fmla="+- G35 10800 0"/>
                        <a:gd name="G49" fmla="+- G36 10800 0"/>
                        <a:gd name="T4" fmla="*/ 10800 w 1000"/>
                        <a:gd name="T5" fmla="*/ 10800 h 1000"/>
                        <a:gd name="T6" fmla="*/ 10800 w 1000"/>
                        <a:gd name="T7" fmla="*/ 10800 h 1000"/>
                        <a:gd name="T8" fmla="*/ 10800 w 1000"/>
                        <a:gd name="T9" fmla="*/ 10800 h 1000"/>
                        <a:gd name="T10" fmla="*/ 10800 w 1000"/>
                        <a:gd name="T11" fmla="*/ 10800 h 1000"/>
                        <a:gd name="T12" fmla="*/ 10800 w 1000"/>
                        <a:gd name="T13" fmla="*/ 10800 h 1000"/>
                        <a:gd name="T14" fmla="*/ 21600 w 1000"/>
                        <a:gd name="T15" fmla="*/ 10800 h 1000"/>
                        <a:gd name="T16" fmla="*/ 10800 w 1000"/>
                        <a:gd name="T17" fmla="*/ 21600 h 1000"/>
                        <a:gd name="T18" fmla="*/ 0 w 1000"/>
                        <a:gd name="T19" fmla="*/ 10800 h 1000"/>
                        <a:gd name="T20" fmla="*/ 10800 w 1000"/>
                        <a:gd name="T21" fmla="*/ 0 h 1000"/>
                        <a:gd name="T22" fmla="*/ 21599 w 1000"/>
                        <a:gd name="T23" fmla="*/ 10799 h 1000"/>
                        <a:gd name="T24" fmla="*/ 21600 w 1000"/>
                        <a:gd name="T25" fmla="*/ 10800 h 1000"/>
                        <a:gd name="T26" fmla="*/ 24300 w 1000"/>
                        <a:gd name="T27" fmla="*/ 10800 h 1000"/>
                        <a:gd name="T28" fmla="*/ 16200 w 1000"/>
                        <a:gd name="T29" fmla="*/ 18900 h 1000"/>
                        <a:gd name="T30" fmla="*/ 8100 w 1000"/>
                        <a:gd name="T31" fmla="*/ 10800 h 1000"/>
                        <a:gd name="T32" fmla="*/ 10800 w 1000"/>
                        <a:gd name="T33" fmla="*/ 10800 h 1000"/>
                        <a:gd name="T34" fmla="*/ 3163 w 1000"/>
                        <a:gd name="T35" fmla="*/ 3163 h 1000"/>
                        <a:gd name="T36" fmla="*/ 18437 w 1000"/>
                        <a:gd name="T37" fmla="*/ 18437 h 1000"/>
                      </a:gdLst>
                      <a:ahLst/>
                      <a:cxnLst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  <a:cxn ang="0">
                          <a:pos x="T14" y="T15"/>
                        </a:cxn>
                        <a:cxn ang="0">
                          <a:pos x="T16" y="T17"/>
                        </a:cxn>
                        <a:cxn ang="0">
                          <a:pos x="T18" y="T19"/>
                        </a:cxn>
                        <a:cxn ang="0">
                          <a:pos x="T20" y="T21"/>
                        </a:cxn>
                        <a:cxn ang="0">
                          <a:pos x="T22" y="T23"/>
                        </a:cxn>
                        <a:cxn ang="0">
                          <a:pos x="T24" y="T25"/>
                        </a:cxn>
                        <a:cxn ang="0">
                          <a:pos x="T26" y="T27"/>
                        </a:cxn>
                        <a:cxn ang="0">
                          <a:pos x="T28" y="T29"/>
                        </a:cxn>
                        <a:cxn ang="0">
                          <a:pos x="T30" y="T31"/>
                        </a:cxn>
                        <a:cxn ang="0">
                          <a:pos x="T32" y="T33"/>
                        </a:cxn>
                      </a:cxnLst>
                      <a:rect l="T34" t="T35" r="T36" b="T37"/>
                      <a:pathLst>
                        <a:path w="1000" h="1000">
                          <a:moveTo>
                            <a:pt x="10800" y="10800"/>
                          </a:move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cubicBezTo>
                            <a:pt x="10800" y="10800"/>
                            <a:pt x="10800" y="10800"/>
                            <a:pt x="10800" y="10800"/>
                          </a:cubicBezTo>
                          <a:lnTo>
                            <a:pt x="21600" y="10800"/>
                          </a:lnTo>
                          <a:cubicBezTo>
                            <a:pt x="21600" y="16764"/>
                            <a:pt x="16764" y="21600"/>
                            <a:pt x="10800" y="21600"/>
                          </a:cubicBezTo>
                          <a:cubicBezTo>
                            <a:pt x="4835" y="21600"/>
                            <a:pt x="0" y="16764"/>
                            <a:pt x="0" y="10800"/>
                          </a:cubicBezTo>
                          <a:cubicBezTo>
                            <a:pt x="0" y="4835"/>
                            <a:pt x="4835" y="0"/>
                            <a:pt x="10800" y="0"/>
                          </a:cubicBezTo>
                          <a:cubicBezTo>
                            <a:pt x="16764" y="0"/>
                            <a:pt x="21599" y="4835"/>
                            <a:pt x="21599" y="10799"/>
                          </a:cubicBezTo>
                          <a:lnTo>
                            <a:pt x="21600" y="10800"/>
                          </a:lnTo>
                          <a:lnTo>
                            <a:pt x="24300" y="10800"/>
                          </a:lnTo>
                          <a:lnTo>
                            <a:pt x="16200" y="18900"/>
                          </a:lnTo>
                          <a:lnTo>
                            <a:pt x="8100" y="10800"/>
                          </a:lnTo>
                          <a:lnTo>
                            <a:pt x="10800" y="1080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M - средний балл по представленной заявке (округляется до тысячных);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X1 - количество баллов, поставленных членом Экспертного совета N 1;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X2 - количество баллов, поставленных членом Экспертного совета N 2;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X3 - количество баллов, поставленных членом Экспертного совета N 3;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>n - количество членов Экспертного совета, оценивших заявку.</w:t>
      </w:r>
    </w:p>
    <w:p w:rsidR="00EE4BF7" w:rsidRDefault="00EE4BF7" w:rsidP="00EE4BF7">
      <w:pPr>
        <w:pStyle w:val="ConsPlusNormal"/>
        <w:ind w:firstLine="540"/>
        <w:jc w:val="both"/>
      </w:pPr>
    </w:p>
    <w:p w:rsidR="00EE4BF7" w:rsidRDefault="00EE4BF7" w:rsidP="00EE4BF7">
      <w:pPr>
        <w:pStyle w:val="ConsPlusNormal"/>
        <w:ind w:firstLine="540"/>
        <w:jc w:val="both"/>
      </w:pPr>
      <w:r>
        <w:t>4.8. Секретарь Экспертного совета формирует рейтинг СО НКО в порядке убывания среднего количества баллов, где СО НКО, чья заявка получила наиболее высокий средний балл, занимает наиболее высокую позицию в рейтинге. Сформированный рейтинг представляется на рассмотрение Экспертного совета.</w:t>
      </w:r>
    </w:p>
    <w:p w:rsidR="00EE4BF7" w:rsidRDefault="00EE4BF7" w:rsidP="00EE4BF7">
      <w:pPr>
        <w:pStyle w:val="ConsPlusNormal"/>
        <w:spacing w:before="220"/>
        <w:ind w:firstLine="540"/>
        <w:jc w:val="both"/>
      </w:pPr>
      <w:r>
        <w:t xml:space="preserve">4.9. Победителями конкурсного отбора признаются СО НКО, заявки которых заняли </w:t>
      </w:r>
      <w:r>
        <w:lastRenderedPageBreak/>
        <w:t>наиболее высокую позицию в рейтинге. Количество победителей конкурсного отбора определяется с учетом объема бюджетных ассигнований, утвержденных Комитету в сводной бюджетной росписи областного бюджета на соответствующий финансовый год.</w:t>
      </w: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 w:rsidP="00EE4BF7">
      <w:pPr>
        <w:pStyle w:val="ConsPlusNormal"/>
        <w:jc w:val="right"/>
      </w:pPr>
    </w:p>
    <w:p w:rsidR="00EE4BF7" w:rsidRDefault="00EE4BF7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EE4BF7" w:rsidRDefault="00EE4BF7" w:rsidP="00EE4BF7">
      <w:pPr>
        <w:pStyle w:val="ConsPlusNormal"/>
        <w:jc w:val="right"/>
      </w:pPr>
      <w:r>
        <w:lastRenderedPageBreak/>
        <w:t>(приложение 2)</w:t>
      </w:r>
    </w:p>
    <w:p w:rsidR="00EE4BF7" w:rsidRDefault="00EE4BF7" w:rsidP="00EE4BF7">
      <w:pPr>
        <w:pStyle w:val="ConsPlusNormal"/>
        <w:jc w:val="center"/>
      </w:pPr>
    </w:p>
    <w:p w:rsidR="00EE4BF7" w:rsidRDefault="00EE4BF7" w:rsidP="00EE4BF7">
      <w:pPr>
        <w:pStyle w:val="ConsPlusTitle"/>
        <w:jc w:val="center"/>
      </w:pPr>
      <w:bookmarkStart w:id="2" w:name="P136"/>
      <w:bookmarkEnd w:id="2"/>
      <w:r>
        <w:t>КРИТЕРИИ</w:t>
      </w:r>
    </w:p>
    <w:p w:rsidR="00EE4BF7" w:rsidRDefault="00EE4BF7" w:rsidP="00EE4BF7">
      <w:pPr>
        <w:pStyle w:val="ConsPlusTitle"/>
        <w:jc w:val="center"/>
      </w:pPr>
      <w:r>
        <w:t>ОЦЕНКИ ЗАЯВОК НА ПОЛУЧЕНИЕ СУБСИДИЙ</w:t>
      </w:r>
    </w:p>
    <w:p w:rsidR="00EE4BF7" w:rsidRDefault="00EE4BF7" w:rsidP="00EE4BF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3855"/>
        <w:gridCol w:w="1417"/>
      </w:tblGrid>
      <w:tr w:rsidR="00EE4BF7" w:rsidTr="00C4661B">
        <w:tc>
          <w:tcPr>
            <w:tcW w:w="510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Характеристика проекта (актуальность, оригинальность, инновация) (0-10)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 xml:space="preserve">проект актуален, </w:t>
            </w:r>
            <w:proofErr w:type="spellStart"/>
            <w:r>
              <w:t>инновационен</w:t>
            </w:r>
            <w:proofErr w:type="spellEnd"/>
            <w:r>
              <w:t>, оригинален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проект актуален и оригинален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проект актуален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2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проект не актуален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Характеристика плана мероприятий проекта (0-10)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proofErr w:type="gramStart"/>
            <w:r>
              <w:t>реалистичен</w:t>
            </w:r>
            <w:proofErr w:type="gramEnd"/>
            <w:r>
              <w:t>, выполним, обеспечен ресурсами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proofErr w:type="gramStart"/>
            <w:r>
              <w:t>реалистичен</w:t>
            </w:r>
            <w:proofErr w:type="gramEnd"/>
            <w:r>
              <w:t>, выполним, для всестороннего достижения целей и решения поставленных задач необходимо больше ресурсов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proofErr w:type="gramStart"/>
            <w:r>
              <w:t>нереалистичен</w:t>
            </w:r>
            <w:proofErr w:type="gramEnd"/>
            <w:r>
              <w:t>, невыполним, не обеспечен ресурсами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Опыт успешной деятельности СО НКО по реализации сходных проектов или проектов в заявленной сфере в течение последних трех лет (0-10)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более 2 проектов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2 проектов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1 проекта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2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проекты не реализовывались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Численность жителей Ленинградской области, вовлеченных в реализацию проекта (1-10)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более 300 человек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150-300 человек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8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50-149 человек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менее 50 человек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Наличие информационного ресурса СО НК</w:t>
            </w:r>
            <w:proofErr w:type="gramStart"/>
            <w:r>
              <w:t>О о ее</w:t>
            </w:r>
            <w:proofErr w:type="gramEnd"/>
            <w:r>
              <w:t xml:space="preserve"> деятельности и периодичность его обновления (0-5)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наполняется еженедельно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наполняется ежемесячно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3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 xml:space="preserve">наполняется </w:t>
            </w:r>
            <w:proofErr w:type="gramStart"/>
            <w:r>
              <w:t>реже</w:t>
            </w:r>
            <w:proofErr w:type="gramEnd"/>
            <w:r>
              <w:t xml:space="preserve"> чем раз в месяц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отсутствует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Ожидаемые результаты от реализации проекта (0-10)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все предполагаемые результаты можно оценить точно и объективно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часть основных результатов можно оценить точно и объективно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точные и объективные результаты не представлены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Заявленные в проекте финансовые требования (расходы) экономически обоснованы и целесообразны (0-15)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все запланированные затраты обоснованы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смета затрат завышена на 10-30% и может быть сокращена без ущерба для результата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смета затрат завышена более чем на 30% и может быть сокращена без ущерба для результата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смета затрат не соответствует запланированным мероприятиям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Проектом предусмотрен объем внебюджетного финансирования проекта (</w:t>
            </w:r>
            <w:proofErr w:type="gramStart"/>
            <w:r>
              <w:t>в</w:t>
            </w:r>
            <w:proofErr w:type="gramEnd"/>
            <w:r>
              <w:t xml:space="preserve"> % от общей суммы расходов на реализацию проекта) (0-10)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20% и более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10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от 10% до 19%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от 0% до 9%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0%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Количество добровольцев на постоянной основе, участвующих в реализации проектной деятельности СО НКО (0-5)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более 20 добровольцев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11-20 добровольцев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3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5-10 добровольцев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2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менее 5 добровольцев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  <w:tr w:rsidR="00EE4BF7" w:rsidTr="00C4661B">
        <w:tc>
          <w:tcPr>
            <w:tcW w:w="510" w:type="dxa"/>
            <w:vMerge w:val="restart"/>
          </w:tcPr>
          <w:p w:rsidR="00EE4BF7" w:rsidRDefault="00EE4BF7" w:rsidP="00C4661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88" w:type="dxa"/>
            <w:vMerge w:val="restart"/>
          </w:tcPr>
          <w:p w:rsidR="00EE4BF7" w:rsidRDefault="00EE4BF7" w:rsidP="00C4661B">
            <w:pPr>
              <w:pStyle w:val="ConsPlusNormal"/>
            </w:pPr>
            <w:r>
              <w:t>Планируемый социальный эффект от реализации проекта (0-15)</w:t>
            </w:r>
          </w:p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проекта будет способствовать решению важных социальных задач, усматривается высокая степень положительного влияния проекта на целевую группу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15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проекта будет способствовать решению важных социальных задач, усматривается незначительная степень положительного влияния проекта на целевую группу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8</w:t>
            </w:r>
          </w:p>
        </w:tc>
      </w:tr>
      <w:tr w:rsidR="00EE4BF7" w:rsidTr="00C4661B">
        <w:tc>
          <w:tcPr>
            <w:tcW w:w="510" w:type="dxa"/>
            <w:vMerge/>
          </w:tcPr>
          <w:p w:rsidR="00EE4BF7" w:rsidRDefault="00EE4BF7" w:rsidP="00C4661B"/>
        </w:tc>
        <w:tc>
          <w:tcPr>
            <w:tcW w:w="3288" w:type="dxa"/>
            <w:vMerge/>
          </w:tcPr>
          <w:p w:rsidR="00EE4BF7" w:rsidRDefault="00EE4BF7" w:rsidP="00C4661B"/>
        </w:tc>
        <w:tc>
          <w:tcPr>
            <w:tcW w:w="3855" w:type="dxa"/>
          </w:tcPr>
          <w:p w:rsidR="00EE4BF7" w:rsidRDefault="00EE4BF7" w:rsidP="00C4661B">
            <w:pPr>
              <w:pStyle w:val="ConsPlusNormal"/>
            </w:pPr>
            <w:r>
              <w:t>реализация проекта будет способствовать решению социальных задач, положительное влияние проекта на целевую группу не усматривается</w:t>
            </w:r>
          </w:p>
        </w:tc>
        <w:tc>
          <w:tcPr>
            <w:tcW w:w="1417" w:type="dxa"/>
          </w:tcPr>
          <w:p w:rsidR="00EE4BF7" w:rsidRDefault="00EE4BF7" w:rsidP="00C4661B">
            <w:pPr>
              <w:pStyle w:val="ConsPlusNormal"/>
              <w:jc w:val="center"/>
            </w:pPr>
            <w:r>
              <w:t>0</w:t>
            </w:r>
          </w:p>
        </w:tc>
      </w:tr>
    </w:tbl>
    <w:p w:rsidR="00107EDF" w:rsidRDefault="00107EDF"/>
    <w:sectPr w:rsidR="00107EDF" w:rsidSect="00D5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76"/>
    <w:rsid w:val="00107EDF"/>
    <w:rsid w:val="00DD4176"/>
    <w:rsid w:val="00EB0E32"/>
    <w:rsid w:val="00E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F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B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BF3C97205A4E0218FFBB0EC7EA5C8FB794C9230254F8660D4473FAC47D3EA304947207F524FE255322B4005A466993CC223B102D0BF5A05sEF" TargetMode="External"/><Relationship Id="rId13" Type="http://schemas.openxmlformats.org/officeDocument/2006/relationships/hyperlink" Target="consultantplus://offline/ref=D97BF3C97205A4E0218FFBB0EC7EA5C8FB794C9230254F8660D4473FAC47D3EA304947207F524FE350322B4005A466993CC223B102D0BF5A05s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7BF3C97205A4E0218FFBB0EC7EA5C8FB794C9230254F8660D4473FAC47D3EA304947207F524FE254322B4005A466993CC223B102D0BF5A05sEF" TargetMode="External"/><Relationship Id="rId12" Type="http://schemas.openxmlformats.org/officeDocument/2006/relationships/hyperlink" Target="consultantplus://offline/ref=D97BF3C97205A4E0218FFBB0EC7EA5C8FB794C9230254F8660D4473FAC47D3EA304947207F524FE353322B4005A466993CC223B102D0BF5A05sE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BF3C97205A4E0218FFBB0EC7EA5C8FB78419234244F8660D4473FAC47D3EA304947207F524EE257322B4005A466993CC223B102D0BF5A05sEF" TargetMode="External"/><Relationship Id="rId11" Type="http://schemas.openxmlformats.org/officeDocument/2006/relationships/hyperlink" Target="consultantplus://offline/ref=D97BF3C97205A4E0218FFBB0EC7EA5C8FB784C963A214F8660D4473FAC47D3EA304947207F524FE257322B4005A466993CC223B102D0BF5A05sEF" TargetMode="External"/><Relationship Id="rId5" Type="http://schemas.openxmlformats.org/officeDocument/2006/relationships/hyperlink" Target="consultantplus://offline/ref=D97BF3C97205A4E0218FFBB0EC7EA5C8FB78419234244F8660D4473FAC47D3EA304947207F524EE256322B4005A466993CC223B102D0BF5A05sE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7BF3C97205A4E0218FFBB0EC7EA5C8FB794C9230254F8660D4473FAC47D3EA304947207F524FE25B322B4005A466993CC223B102D0BF5A05s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7BF3C97205A4E0218FFBB0EC7EA5C8FB79469130214F8660D4473FAC47D3EA304947207F524FE353322B4005A466993CC223B102D0BF5A05sEF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Анатольевич Офицеров</dc:creator>
  <cp:lastModifiedBy>Admin</cp:lastModifiedBy>
  <cp:revision>2</cp:revision>
  <dcterms:created xsi:type="dcterms:W3CDTF">2019-12-24T10:12:00Z</dcterms:created>
  <dcterms:modified xsi:type="dcterms:W3CDTF">2019-12-24T10:12:00Z</dcterms:modified>
</cp:coreProperties>
</file>