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07" w:rsidRPr="00C5428C" w:rsidRDefault="00502AEA" w:rsidP="003F17B6">
      <w:pPr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проведенном анализе и выявленных </w:t>
      </w:r>
      <w:proofErr w:type="spellStart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риск</w:t>
      </w:r>
      <w:r w:rsidR="0031352A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Представительства Губернатора и Правительства Ленинградской 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>области при Правительстве Российской Федерации за 20</w:t>
      </w:r>
      <w:r w:rsidR="002C7F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456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E27" w:rsidRDefault="006524E1" w:rsidP="003F17B6">
      <w:pPr>
        <w:spacing w:after="0" w:line="240" w:lineRule="auto"/>
        <w:ind w:left="-567" w:right="-284" w:firstLine="567"/>
        <w:jc w:val="both"/>
        <w:rPr>
          <w:rStyle w:val="a4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2EA">
        <w:rPr>
          <w:rFonts w:ascii="Times New Roman" w:hAnsi="Times New Roman" w:cs="Times New Roman"/>
          <w:sz w:val="28"/>
          <w:szCs w:val="28"/>
        </w:rPr>
        <w:t xml:space="preserve">аспоряжением Представительства Губернатора и Правительства Ленинградской области при Правительстве Российской Федерации от 27 марта </w:t>
      </w:r>
      <w:r w:rsidR="002C7FA3">
        <w:rPr>
          <w:rFonts w:ascii="Times New Roman" w:hAnsi="Times New Roman" w:cs="Times New Roman"/>
          <w:sz w:val="28"/>
          <w:szCs w:val="28"/>
        </w:rPr>
        <w:t>2</w:t>
      </w:r>
      <w:r w:rsidRPr="00D302EA">
        <w:rPr>
          <w:rFonts w:ascii="Times New Roman" w:hAnsi="Times New Roman" w:cs="Times New Roman"/>
          <w:sz w:val="28"/>
          <w:szCs w:val="28"/>
        </w:rPr>
        <w:t>019 г. № 02.01.17-рп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3D7">
        <w:rPr>
          <w:rFonts w:ascii="Times New Roman" w:hAnsi="Times New Roman" w:cs="Times New Roman"/>
          <w:sz w:val="28"/>
          <w:szCs w:val="28"/>
        </w:rPr>
        <w:t>с изменени</w:t>
      </w:r>
      <w:r w:rsidR="0086640A">
        <w:rPr>
          <w:rFonts w:ascii="Times New Roman" w:hAnsi="Times New Roman" w:cs="Times New Roman"/>
          <w:sz w:val="28"/>
          <w:szCs w:val="28"/>
        </w:rPr>
        <w:t>е</w:t>
      </w:r>
      <w:r w:rsidRPr="003573D7">
        <w:rPr>
          <w:rFonts w:ascii="Times New Roman" w:hAnsi="Times New Roman" w:cs="Times New Roman"/>
          <w:sz w:val="28"/>
          <w:szCs w:val="28"/>
        </w:rPr>
        <w:t>м (распоряжение от 30</w:t>
      </w:r>
      <w:r w:rsidRPr="000617DF">
        <w:rPr>
          <w:rFonts w:ascii="Times New Roman" w:hAnsi="Times New Roman" w:cs="Times New Roman"/>
          <w:sz w:val="28"/>
          <w:szCs w:val="28"/>
        </w:rPr>
        <w:t xml:space="preserve"> января 2020 г. N 02.01.05-рп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24E1">
        <w:rPr>
          <w:rFonts w:ascii="Times New Roman" w:hAnsi="Times New Roman" w:cs="Times New Roman"/>
          <w:sz w:val="28"/>
          <w:szCs w:val="28"/>
        </w:rPr>
        <w:t>в Представительстве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</w:t>
      </w:r>
      <w:r w:rsidR="00D302EA" w:rsidRPr="008D2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2C48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</w:t>
      </w:r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6" w:history="1">
        <w:r>
          <w:rPr>
            <w:rStyle w:val="a4"/>
          </w:rPr>
          <w:t>http://mos.lenobl.ru/ru/progandplan/antimonopolnyj-komplaens/</w:t>
        </w:r>
      </w:hyperlink>
      <w:r w:rsidR="0037456E">
        <w:rPr>
          <w:rStyle w:val="a4"/>
        </w:rPr>
        <w:t xml:space="preserve"> </w:t>
      </w:r>
      <w:r w:rsidR="0037456E">
        <w:rPr>
          <w:rStyle w:val="a4"/>
          <w:u w:val="none"/>
        </w:rPr>
        <w:t xml:space="preserve"> </w:t>
      </w:r>
    </w:p>
    <w:p w:rsidR="00D302EA" w:rsidRPr="0037456E" w:rsidRDefault="0037456E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</w:t>
      </w:r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Планом мероприятий («дорожная карта») по снижению </w:t>
      </w:r>
      <w:proofErr w:type="spellStart"/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комплаенс</w:t>
      </w:r>
      <w:proofErr w:type="spellEnd"/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-рисков Представительство сообщает.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проведении анализа соблюдения Представительством антимонопольного законодательства выявлены следующие </w:t>
      </w:r>
      <w:proofErr w:type="spellStart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-риски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1. нарушения при осуществлении закупок товаров, работ, услуг для обеспечения государственных нужд Представительством;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1E2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принятие правовых актов и осуществление действий (бездействие),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2EA" w:rsidRPr="00D302EA" w:rsidRDefault="00D302EA" w:rsidP="003F17B6">
      <w:pPr>
        <w:pStyle w:val="ConsPlusTitle"/>
        <w:ind w:left="-567" w:right="-284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Показател</w:t>
      </w:r>
      <w:r w:rsidR="002F244D">
        <w:rPr>
          <w:rFonts w:ascii="Times New Roman" w:hAnsi="Times New Roman" w:cs="Times New Roman"/>
          <w:b w:val="0"/>
          <w:sz w:val="28"/>
          <w:szCs w:val="28"/>
          <w:u w:val="single"/>
        </w:rPr>
        <w:t>ями</w:t>
      </w: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эффективности функционирования антимонопольного </w:t>
      </w:r>
      <w:proofErr w:type="spellStart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комплаенса</w:t>
      </w:r>
      <w:proofErr w:type="spellEnd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Представительства являются</w:t>
      </w:r>
      <w:r w:rsidRPr="00D302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02EA" w:rsidRPr="003573D7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Представительства </w:t>
      </w:r>
      <w:r w:rsidRPr="003573D7">
        <w:rPr>
          <w:rFonts w:ascii="Times New Roman" w:hAnsi="Times New Roman" w:cs="Times New Roman"/>
          <w:sz w:val="28"/>
          <w:szCs w:val="28"/>
        </w:rPr>
        <w:t>(по сравнению с годом, предшествующим отчетному);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Представительства, в которых выявлены риски нарушения антимонопольного законодательства;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в) доля нормативных правовых актов Представительства, в которых выявлены риски нарушения антимонопольного законодательства.</w:t>
      </w:r>
    </w:p>
    <w:p w:rsidR="00B476D3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Коэффициент снижения количества нарушений антимонопольного законодательства со стороны Представительства</w:t>
      </w:r>
      <w:r w:rsidR="00B476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244D" w:rsidRPr="00DD1282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 - возбужденные антимонопольным органом в отношении Представительства антимонопольные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4D">
        <w:rPr>
          <w:rFonts w:ascii="Times New Roman" w:hAnsi="Times New Roman" w:cs="Times New Roman"/>
          <w:b/>
          <w:sz w:val="28"/>
          <w:szCs w:val="28"/>
        </w:rPr>
        <w:t>- 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2F244D" w:rsidRPr="00DD1282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выданные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D302EA" w:rsidRDefault="002F244D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.</w:t>
      </w:r>
      <w:r w:rsidR="00D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44D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проектов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 xml:space="preserve">оличество проектов нормативных правовых актов Представительства, в которых данным органом выявлены риски нарушения антимонопольного </w:t>
      </w:r>
      <w:r w:rsidRPr="00DD1282">
        <w:rPr>
          <w:rFonts w:ascii="Times New Roman" w:hAnsi="Times New Roman" w:cs="Times New Roman"/>
          <w:sz w:val="28"/>
          <w:szCs w:val="28"/>
        </w:rPr>
        <w:lastRenderedPageBreak/>
        <w:t>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 Представительства, в которых антимонопольным органом выявлены нарушения антимонопольного 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>оличество нормативных правовых актов Представительства, в которых данным органом выявлены риски нарушения антимонопольного законодательства (в отчетном периоде)</w:t>
      </w:r>
      <w:r w:rsidRPr="00B4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Pr="0027754E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- количество нормативных правовых актов Представительства, в которых антимонопольным органом выявлены нарушения антимонопольного </w:t>
      </w:r>
      <w:r w:rsidRPr="0027754E">
        <w:rPr>
          <w:rFonts w:ascii="Times New Roman" w:hAnsi="Times New Roman" w:cs="Times New Roman"/>
          <w:sz w:val="28"/>
          <w:szCs w:val="28"/>
        </w:rPr>
        <w:t xml:space="preserve">законодательства (в отчетном периоде) – </w:t>
      </w:r>
      <w:r w:rsidRPr="0027754E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347055" w:rsidRPr="00347055" w:rsidRDefault="00347055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54E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7754E">
        <w:rPr>
          <w:rFonts w:ascii="Times New Roman" w:eastAsia="Times New Roman" w:hAnsi="Times New Roman" w:cs="Times New Roman"/>
          <w:sz w:val="28"/>
          <w:szCs w:val="28"/>
        </w:rPr>
        <w:t xml:space="preserve">выявленных </w:t>
      </w:r>
      <w:proofErr w:type="spellStart"/>
      <w:r w:rsidRPr="0027754E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27754E">
        <w:rPr>
          <w:rFonts w:ascii="Times New Roman" w:eastAsia="Times New Roman" w:hAnsi="Times New Roman" w:cs="Times New Roman"/>
          <w:sz w:val="28"/>
          <w:szCs w:val="28"/>
        </w:rPr>
        <w:t>-рисках проводилась за предыдущие 3 года.</w:t>
      </w:r>
    </w:p>
    <w:p w:rsidR="00502AEA" w:rsidRPr="00C5428C" w:rsidRDefault="00817D96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="00502AEA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недопущения </w:t>
      </w: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возникновения </w:t>
      </w:r>
      <w:proofErr w:type="spellStart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-рисков и снижения рисков нарушения антимонопольного законодательства</w:t>
      </w:r>
      <w:r w:rsidR="00704A7C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Представительством предприняты следующие меры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A7C" w:rsidRPr="00C5428C" w:rsidRDefault="00704A7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проведения закупок и недопущения следующих случаев: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уклонение от проведения процедуры определения поставщика (подрядчика, исполнителя);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включение в описание объекта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требований к товарам, информации, работам, услугам при условии, если такие требования или указания влекут за собой ограничение количества участников закупки;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нарушение порядка определения и обоснования начальной (максимальной) цены контракта (НМЦК)</w:t>
      </w:r>
      <w:r w:rsidR="00C5428C" w:rsidRPr="00C5428C">
        <w:rPr>
          <w:rFonts w:ascii="Times New Roman" w:eastAsia="Times New Roman" w:hAnsi="Times New Roman" w:cs="Times New Roman"/>
          <w:sz w:val="28"/>
          <w:szCs w:val="28"/>
        </w:rPr>
        <w:t>, завышение или занижение НМЦК;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использование в контрактах завышенных требований к участнику, не предусмотренных действующим законодательством</w:t>
      </w:r>
      <w:r w:rsidR="00D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(установление нереальных сроков поставок, выполнени</w:t>
      </w:r>
      <w:r w:rsidR="0086640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работ, оказани</w:t>
      </w:r>
      <w:r w:rsidR="0086640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услуг);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товарам, использование которых вообще не предусмотрено при производстве работ;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нарушение порядка определения победителя в рамках процедуры определения поставщика (подрядчика, исполнителя);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«дробление» закупки с целью заключения контракта с единственным поставщиком без проведения конкурентных торгов;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выбор ненадлежащего способа определения поставщика, в том числе заключени</w:t>
      </w:r>
      <w:r w:rsidR="008664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контракта с единст</w:t>
      </w:r>
      <w:bookmarkStart w:id="0" w:name="_GoBack"/>
      <w:bookmarkEnd w:id="0"/>
      <w:r w:rsidRPr="00C5428C">
        <w:rPr>
          <w:rFonts w:ascii="Times New Roman" w:eastAsia="Times New Roman" w:hAnsi="Times New Roman" w:cs="Times New Roman"/>
          <w:sz w:val="28"/>
          <w:szCs w:val="28"/>
        </w:rPr>
        <w:t>венным поставщиком без достаточных на то оснований;</w:t>
      </w:r>
    </w:p>
    <w:p w:rsid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не размещение в ЕИС информации, подлежащей опубликованию.</w:t>
      </w:r>
    </w:p>
    <w:p w:rsidR="006149FC" w:rsidRDefault="0093705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4456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Представительстве п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 xml:space="preserve">роведен внутренний финансовый аудит (в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4456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49FC" w:rsidRPr="00554171" w:rsidRDefault="006149F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71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 реестр (карта) коррупционных рисков, возник</w:t>
      </w:r>
      <w:r w:rsidR="0083574B" w:rsidRPr="00554171">
        <w:rPr>
          <w:rFonts w:ascii="Times New Roman" w:eastAsia="Times New Roman" w:hAnsi="Times New Roman" w:cs="Times New Roman"/>
          <w:sz w:val="28"/>
          <w:szCs w:val="28"/>
        </w:rPr>
        <w:t>ающих при осуществлении закупок (утвержден Распоряжением заместителя руководителя Представительства от 02 ноября 2020 года № 02.01.32-рп).</w:t>
      </w:r>
    </w:p>
    <w:p w:rsidR="0093705C" w:rsidRPr="00C5428C" w:rsidRDefault="0093705C" w:rsidP="0093705C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Представительства, ответственные за проведение закупок, участвуют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семинарах, организованных комитетом государственного заказа Ленинградской области.</w:t>
      </w:r>
    </w:p>
    <w:p w:rsidR="00817D96" w:rsidRPr="00C5428C" w:rsidRDefault="0093705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Запланировано обучение сотрудников по программе повышения квалификации: «Управление государственными и муниципальными закупками»</w:t>
      </w:r>
      <w:r w:rsidR="00817D96"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D96" w:rsidRDefault="003573D7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 о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повышения квалификации:</w:t>
      </w:r>
      <w:r w:rsidR="00D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5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E3" w:rsidRPr="00B476D3" w:rsidRDefault="00E02CE3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Запланировано обучение сотрудников по программе повышения квалификации: «Противодействие коррупции».</w:t>
      </w:r>
    </w:p>
    <w:p w:rsidR="009E2907" w:rsidRPr="00C61E27" w:rsidRDefault="00C61E27" w:rsidP="00C61E27">
      <w:pPr>
        <w:ind w:left="-567" w:right="-284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228E1">
        <w:rPr>
          <w:rFonts w:ascii="Times New Roman" w:hAnsi="Times New Roman" w:cs="Times New Roman"/>
          <w:sz w:val="28"/>
          <w:szCs w:val="28"/>
        </w:rPr>
        <w:t xml:space="preserve"> итогам</w:t>
      </w:r>
      <w:r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228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28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уровень рисков нарушения Представительством антимонопольного законодательства оценен как «низкий».</w:t>
      </w:r>
    </w:p>
    <w:sectPr w:rsidR="009E2907" w:rsidRPr="00C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2368C"/>
    <w:multiLevelType w:val="hybridMultilevel"/>
    <w:tmpl w:val="DAF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07"/>
    <w:rsid w:val="00104038"/>
    <w:rsid w:val="002524C7"/>
    <w:rsid w:val="0027754E"/>
    <w:rsid w:val="002C7FA3"/>
    <w:rsid w:val="002F244D"/>
    <w:rsid w:val="0031352A"/>
    <w:rsid w:val="003228E1"/>
    <w:rsid w:val="00347055"/>
    <w:rsid w:val="003573D7"/>
    <w:rsid w:val="0037456E"/>
    <w:rsid w:val="003F17B6"/>
    <w:rsid w:val="00502AEA"/>
    <w:rsid w:val="00554171"/>
    <w:rsid w:val="006149FC"/>
    <w:rsid w:val="006524E1"/>
    <w:rsid w:val="00704A7C"/>
    <w:rsid w:val="00817D96"/>
    <w:rsid w:val="0083574B"/>
    <w:rsid w:val="0086640A"/>
    <w:rsid w:val="008D2C48"/>
    <w:rsid w:val="0093705C"/>
    <w:rsid w:val="009E2907"/>
    <w:rsid w:val="00B476D3"/>
    <w:rsid w:val="00C538AD"/>
    <w:rsid w:val="00C5428C"/>
    <w:rsid w:val="00C61E27"/>
    <w:rsid w:val="00D302EA"/>
    <w:rsid w:val="00D44F84"/>
    <w:rsid w:val="00E02CE3"/>
    <w:rsid w:val="00E44568"/>
    <w:rsid w:val="00E53593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D19E-8ACE-4B55-9312-541392F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96"/>
    <w:pPr>
      <w:ind w:left="720"/>
      <w:contextualSpacing/>
    </w:pPr>
  </w:style>
  <w:style w:type="paragraph" w:customStyle="1" w:styleId="ConsPlusNormal">
    <w:name w:val="ConsPlusNormal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24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.lenobl.ru/ru/progandplan/antimonopolnyj-kompla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96514-D0BE-4934-A7A3-67456951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Анастасия Остапенко</cp:lastModifiedBy>
  <cp:revision>14</cp:revision>
  <cp:lastPrinted>2021-02-03T07:00:00Z</cp:lastPrinted>
  <dcterms:created xsi:type="dcterms:W3CDTF">2021-02-02T13:12:00Z</dcterms:created>
  <dcterms:modified xsi:type="dcterms:W3CDTF">2023-01-10T10:27:00Z</dcterms:modified>
</cp:coreProperties>
</file>